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oter1.xml" ContentType="application/vnd.openxmlformats-officedocument.wordprocessingml.foot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tabs>
          <w:tab w:val="clear" w:pos="708"/>
          <w:tab w:val="left" w:pos="1429" w:leader="none"/>
        </w:tabs>
        <w:ind w:left="0" w:hanging="0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-525780</wp:posOffset>
            </wp:positionH>
            <wp:positionV relativeFrom="paragraph">
              <wp:posOffset>-104775</wp:posOffset>
            </wp:positionV>
            <wp:extent cx="6517005" cy="87210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986" t="5006" r="0" b="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872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tabs>
          <w:tab w:val="clear" w:pos="708"/>
          <w:tab w:val="left" w:pos="1429" w:leader="none"/>
        </w:tabs>
        <w:ind w:left="0" w:hanging="0"/>
        <w:rPr>
          <w:sz w:val="28"/>
          <w:szCs w:val="28"/>
        </w:rPr>
      </w:pPr>
      <w:r>
        <w:rPr/>
      </w:r>
    </w:p>
    <w:p>
      <w:pPr>
        <w:pStyle w:val="ListParagraph"/>
        <w:tabs>
          <w:tab w:val="clear" w:pos="708"/>
          <w:tab w:val="left" w:pos="142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>
      <w:pPr>
        <w:pStyle w:val="ListParagraph"/>
        <w:tabs>
          <w:tab w:val="clear" w:pos="708"/>
          <w:tab w:val="left" w:pos="1429" w:leader="none"/>
        </w:tabs>
        <w:ind w:left="0" w:hanging="0"/>
        <w:rPr>
          <w:sz w:val="28"/>
          <w:szCs w:val="28"/>
        </w:rPr>
      </w:pPr>
      <w:r>
        <w:rPr/>
      </w:r>
    </w:p>
    <w:p>
      <w:pPr>
        <w:pStyle w:val="ListParagraph"/>
        <w:tabs>
          <w:tab w:val="clear" w:pos="708"/>
          <w:tab w:val="left" w:pos="1429" w:leader="none"/>
        </w:tabs>
        <w:ind w:left="0" w:hanging="0"/>
        <w:rPr>
          <w:sz w:val="28"/>
          <w:szCs w:val="28"/>
        </w:rPr>
      </w:pPr>
      <w:r>
        <w:rPr/>
      </w:r>
    </w:p>
    <w:p>
      <w:pPr>
        <w:pStyle w:val="ListParagraph"/>
        <w:tabs>
          <w:tab w:val="clear" w:pos="708"/>
          <w:tab w:val="left" w:pos="1429" w:leader="none"/>
        </w:tabs>
        <w:ind w:left="0" w:hanging="0"/>
        <w:rPr>
          <w:sz w:val="28"/>
          <w:szCs w:val="28"/>
        </w:rPr>
      </w:pPr>
      <w:r>
        <w:rPr/>
      </w:r>
    </w:p>
    <w:p>
      <w:pPr>
        <w:pStyle w:val="ListParagraph"/>
        <w:tabs>
          <w:tab w:val="clear" w:pos="708"/>
          <w:tab w:val="left" w:pos="1429" w:leader="none"/>
        </w:tabs>
        <w:ind w:left="0" w:hanging="0"/>
        <w:rPr>
          <w:sz w:val="28"/>
          <w:szCs w:val="28"/>
        </w:rPr>
      </w:pPr>
      <w:r>
        <w:rPr/>
      </w:r>
    </w:p>
    <w:p>
      <w:pPr>
        <w:pStyle w:val="ListParagraph"/>
        <w:tabs>
          <w:tab w:val="clear" w:pos="708"/>
          <w:tab w:val="left" w:pos="1429" w:leader="none"/>
        </w:tabs>
        <w:ind w:left="0" w:hanging="0"/>
        <w:rPr>
          <w:sz w:val="28"/>
          <w:szCs w:val="28"/>
        </w:rPr>
      </w:pPr>
      <w:r>
        <w:rPr/>
      </w:r>
    </w:p>
    <w:p>
      <w:pPr>
        <w:pStyle w:val="ListParagraph"/>
        <w:tabs>
          <w:tab w:val="clear" w:pos="708"/>
          <w:tab w:val="left" w:pos="142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производится приказом директора учреждения.</w:t>
      </w:r>
    </w:p>
    <w:p>
      <w:pPr>
        <w:pStyle w:val="Style16"/>
        <w:ind w:lef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"/>
        <w:numPr>
          <w:ilvl w:val="0"/>
          <w:numId w:val="3"/>
        </w:numPr>
        <w:tabs>
          <w:tab w:val="clear" w:pos="708"/>
          <w:tab w:val="left" w:pos="1419" w:leader="none"/>
        </w:tabs>
        <w:spacing w:lineRule="auto" w:line="240"/>
        <w:ind w:left="0" w:hanging="241"/>
        <w:rPr>
          <w:sz w:val="28"/>
          <w:szCs w:val="28"/>
        </w:rPr>
      </w:pPr>
      <w:r>
        <w:rPr>
          <w:sz w:val="28"/>
          <w:szCs w:val="28"/>
        </w:rPr>
        <w:t>Педагог-организатор должен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знать:</w:t>
      </w:r>
    </w:p>
    <w:p>
      <w:pPr>
        <w:pStyle w:val="ListParagraph"/>
        <w:numPr>
          <w:ilvl w:val="1"/>
          <w:numId w:val="3"/>
        </w:numPr>
        <w:tabs>
          <w:tab w:val="clear" w:pos="708"/>
          <w:tab w:val="left" w:pos="1600" w:leader="none"/>
        </w:tabs>
        <w:ind w:left="0" w:firstLine="60"/>
        <w:rPr>
          <w:sz w:val="28"/>
          <w:szCs w:val="28"/>
        </w:rPr>
      </w:pPr>
      <w:r>
        <w:rPr>
          <w:sz w:val="28"/>
          <w:szCs w:val="28"/>
        </w:rPr>
        <w:t>- законодательство Российской Федерации и субъекта Российской Федерации в части, регламентирующей деятельность в сфере дополнительного образования детей и взрослых, локальные нормативные акты образовательной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организации;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68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законодательство Российской Федерации в части, регламентирующей педагогическую деятельность в сфере дополнительного образования детей и (или) взрослых, обработку персональных данных (понятие, порядок работы, меры защиты персональных данных, ответственность за нарушение закона о персональных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данных);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539" w:leader="none"/>
        </w:tabs>
        <w:ind w:left="0" w:hanging="361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- нормативно-правовые акты в области защиты прав ребенка, включая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международные;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59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-локальные нормативные акты, регламентирующие организацию образовательного процесса, разработку программно-методического обеспечения, ведение и порядок доступа к учебной и иной документации, в том числе документации, содержащей персональные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данные;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64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основные направления досуговой деятельности, особенности организации и проведения массовых досуговых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мероприятий;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54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способы выявления интересов учащихся (для детей) и их родителей (законных представителей) в области досуговой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63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методы и формы организации деятельности и общения, техники и приемы вовлечения учащихся в деятельность и общение при организации и проведении досуговых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мероприятий;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61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психолого-педагогические основы и методику применения технических средств обучения, ИКТ, электронных образовательных и информационных ресурсов, дистанционных образовательных технологий и электронного обучения, если их использование возможно для освоения дополнительной общеобразовательной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программы;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57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техники и приемы общения (слушания, убеждения) с учетом возрастных и индивидуальных особенностей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собеседников;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786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 основные подходы и направления работы в области профессиональной ориентации, поддержки и сопровождения профессионального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самоопределения;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78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особенности одаренных детей, учащихся с ограниченными возможностями здоровья, трудностями в обучении, специфику инклюзивного подхода в образовании (в зависимости от направленности образовательной программы и контингента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учащихся);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67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перечень и характеристики предлагаемых к освоению дополнительных общеобразовательных программ;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676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основные методы, приемы и способы привлечения потенциального контингента учащихся по дополнительным общеобразовательным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программам;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68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заинтересованные организации, мотивы их взаимодействия с организациями, реализующими дополнительные общеобразовательные программы, формальные (договорные, организационные) и неформальные формы взаимодействия с социальными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партнерами;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659" w:leader="none"/>
        </w:tabs>
        <w:ind w:left="0" w:hanging="481"/>
        <w:rPr>
          <w:sz w:val="28"/>
          <w:szCs w:val="28"/>
        </w:rPr>
      </w:pPr>
      <w:r>
        <w:rPr>
          <w:sz w:val="28"/>
          <w:szCs w:val="28"/>
        </w:rPr>
        <w:t>виды внебюджетных средств, источники их поступления и направления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72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методы, приемы и способы формирования благоприятного психологического микроклимата и обеспечения условий для сотрудничества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учащихся;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659" w:leader="none"/>
        </w:tabs>
        <w:ind w:left="0" w:hanging="481"/>
        <w:rPr>
          <w:sz w:val="28"/>
          <w:szCs w:val="28"/>
        </w:rPr>
      </w:pPr>
      <w:r>
        <w:rPr>
          <w:sz w:val="28"/>
          <w:szCs w:val="28"/>
        </w:rPr>
        <w:t>методологические основы современного дополнительного образования детей и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взрослых;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84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современные концепции и модели, образовательные технологии дополнительного образования детей 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взрослых;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659" w:leader="none"/>
        </w:tabs>
        <w:ind w:left="0" w:hanging="481"/>
        <w:rPr>
          <w:sz w:val="28"/>
          <w:szCs w:val="28"/>
        </w:rPr>
      </w:pPr>
      <w:r>
        <w:rPr>
          <w:sz w:val="28"/>
          <w:szCs w:val="28"/>
        </w:rPr>
        <w:t>источники, причины, виды и способы разрешения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конфликтов;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719" w:leader="none"/>
        </w:tabs>
        <w:ind w:left="0" w:hanging="541"/>
        <w:rPr>
          <w:sz w:val="28"/>
          <w:szCs w:val="28"/>
        </w:rPr>
      </w:pPr>
      <w:r>
        <w:rPr>
          <w:sz w:val="28"/>
          <w:szCs w:val="28"/>
        </w:rPr>
        <w:t>особенности построения компетентностно-ориентированного образовательного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процесса;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81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источники надежной и достоверной информации, отражающие государственную и региональную политику в области образования в целом и реализации программ дополнительного образования детей и (или) взрослых 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частности;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77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внутренние и внешние (средовые) условия развития дополнительного образования в организации, осуществляющей образовательную деятельность;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75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возрастные особенности учащихся, особенности реализации образовательных программ дополнительного образования одаренных учащихся, учащихся с ограниченными возможностями здоровья, вопросы индивидуализации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обучения;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707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основные правила и технические приемы создания информационно-рекламных материалов (листовок, буклетов, плакатов, баннеров, презентаций) на бумажных и электронных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носителях;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659" w:leader="none"/>
        </w:tabs>
        <w:ind w:left="0" w:hanging="481"/>
        <w:rPr>
          <w:sz w:val="28"/>
          <w:szCs w:val="28"/>
        </w:rPr>
      </w:pPr>
      <w:r>
        <w:rPr>
          <w:sz w:val="28"/>
          <w:szCs w:val="28"/>
        </w:rPr>
        <w:t>стадии профессионального развития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педагогов;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65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правила слушания, ведения беседы, убеждения, приемы привлечения внимания, структурирования информации, преодоления барьеров общения, логика и правила построения устного и письменного монологического сообщения, ведения профессионального диалога, формы представления предложений по развитию образования руководителям и педагогическому коллективу;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75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меры ответственности за жизнь и здоровье учащихся, находящихся под руководством педагогического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работника;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807" w:leader="none"/>
          <w:tab w:val="left" w:pos="1808" w:leader="none"/>
          <w:tab w:val="left" w:pos="3177" w:leader="none"/>
          <w:tab w:val="left" w:pos="4139" w:leader="none"/>
          <w:tab w:val="left" w:pos="4918" w:leader="none"/>
          <w:tab w:val="left" w:pos="5506" w:leader="none"/>
          <w:tab w:val="left" w:pos="6916" w:leader="none"/>
          <w:tab w:val="left" w:pos="8204" w:leader="none"/>
          <w:tab w:val="left" w:pos="9760" w:leader="none"/>
          <w:tab w:val="left" w:pos="1008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требования</w:t>
        <w:tab/>
        <w:t>охраны</w:t>
        <w:tab/>
        <w:t>труда</w:t>
        <w:tab/>
        <w:t>при</w:t>
        <w:tab/>
        <w:t>проведении досуговых мероприятий</w:t>
        <w:tab/>
        <w:t>в</w:t>
        <w:tab/>
      </w:r>
      <w:r>
        <w:rPr>
          <w:spacing w:val="-1"/>
          <w:sz w:val="28"/>
          <w:szCs w:val="28"/>
        </w:rPr>
        <w:t xml:space="preserve">организации, </w:t>
      </w:r>
      <w:r>
        <w:rPr>
          <w:sz w:val="28"/>
          <w:szCs w:val="28"/>
        </w:rPr>
        <w:t>осуществляющей образовательную деятельность, и вне организации (на выездных</w:t>
      </w:r>
      <w:r>
        <w:rPr>
          <w:spacing w:val="-30"/>
          <w:sz w:val="28"/>
          <w:szCs w:val="28"/>
        </w:rPr>
        <w:t xml:space="preserve"> </w:t>
      </w:r>
      <w:r>
        <w:rPr>
          <w:sz w:val="28"/>
          <w:szCs w:val="28"/>
        </w:rPr>
        <w:t>мероприятиях);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65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основы трудового законодательства Российской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Федерации; </w:t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65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правила внутреннего трудового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распорядка;</w:t>
      </w:r>
    </w:p>
    <w:p>
      <w:pPr>
        <w:pStyle w:val="Style16"/>
        <w:ind w:left="0" w:hanging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- требования охраны труда и правила пожарной безопасности.</w:t>
      </w:r>
    </w:p>
    <w:p>
      <w:pPr>
        <w:pStyle w:val="Style16"/>
        <w:ind w:lef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"/>
        <w:numPr>
          <w:ilvl w:val="0"/>
          <w:numId w:val="3"/>
        </w:numPr>
        <w:tabs>
          <w:tab w:val="clear" w:pos="708"/>
          <w:tab w:val="left" w:pos="1419" w:leader="none"/>
        </w:tabs>
        <w:spacing w:lineRule="auto" w:line="240"/>
        <w:ind w:left="0" w:hanging="241"/>
        <w:rPr>
          <w:sz w:val="28"/>
          <w:szCs w:val="28"/>
        </w:rPr>
      </w:pPr>
      <w:r>
        <w:rPr>
          <w:sz w:val="28"/>
          <w:szCs w:val="28"/>
        </w:rPr>
        <w:t>Педагог-организатор должен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уметь: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63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планировать, организовывать и проводить досуговые мероприятия с учетом возрастных особенностей, особенностей объединения/группы и отдельных учащихся, специфики инклюзивного подхода в образовании (при его реализации), в том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числе:</w:t>
      </w:r>
    </w:p>
    <w:p>
      <w:pPr>
        <w:pStyle w:val="ListParagraph"/>
        <w:tabs>
          <w:tab w:val="clear" w:pos="708"/>
          <w:tab w:val="left" w:pos="140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- привлекать педагогов, учащихся (для детей) и их родителей (законных представителей) к планированию и разработке содержания социокультурных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мероприятий;</w:t>
      </w:r>
    </w:p>
    <w:p>
      <w:pPr>
        <w:pStyle w:val="ListParagraph"/>
        <w:tabs>
          <w:tab w:val="clear" w:pos="708"/>
          <w:tab w:val="left" w:pos="131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- поддерживать социально значимые инициативы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учащихся;</w:t>
      </w:r>
    </w:p>
    <w:p>
      <w:pPr>
        <w:pStyle w:val="ListParagraph"/>
        <w:tabs>
          <w:tab w:val="clear" w:pos="708"/>
          <w:tab w:val="left" w:pos="139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- использовать при проведении досуговых мероприятий педагогически обоснованные формы, методы, способы и приемы организации деятельности и общения учащихся (в том числе ИКТ, электронные информационные и образовательные ресурсы) в соответствии с санитарно- гигиеническими нормами и с учетом возраста, состояния здоровья и индивидуальных особенностей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учащихся;</w:t>
      </w:r>
    </w:p>
    <w:p>
      <w:pPr>
        <w:pStyle w:val="ListParagraph"/>
        <w:tabs>
          <w:tab w:val="clear" w:pos="708"/>
          <w:tab w:val="left" w:pos="131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- организовывать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репетиции;</w:t>
      </w:r>
    </w:p>
    <w:p>
      <w:pPr>
        <w:pStyle w:val="ListParagraph"/>
        <w:tabs>
          <w:tab w:val="clear" w:pos="708"/>
          <w:tab w:val="left" w:pos="1400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- координировать деятельность педагогов, объединений детей и школьников при подготовке мероприятий;</w:t>
      </w:r>
    </w:p>
    <w:p>
      <w:pPr>
        <w:pStyle w:val="Normal"/>
        <w:tabs>
          <w:tab w:val="clear" w:pos="708"/>
          <w:tab w:val="left" w:pos="131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- выполнять роль ведущего досуговых мероприятий;</w:t>
      </w:r>
    </w:p>
    <w:p>
      <w:pPr>
        <w:pStyle w:val="ListParagraph"/>
        <w:tabs>
          <w:tab w:val="clear" w:pos="708"/>
          <w:tab w:val="left" w:pos="132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- привлекать к участию в мероприятиях одаренных детей и детей с ограниченными возможностями здоровья;</w:t>
      </w:r>
    </w:p>
    <w:p>
      <w:pPr>
        <w:pStyle w:val="ListParagraph"/>
        <w:tabs>
          <w:tab w:val="clear" w:pos="708"/>
          <w:tab w:val="left" w:pos="137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- устанавливать педагогически целесообразные взаимоотношения с учащимися при проведении досуговых мероприятий, использовать различные средства педагогической поддержки учащихся, испытывающих затруднения в общении;</w:t>
      </w:r>
    </w:p>
    <w:p>
      <w:pPr>
        <w:pStyle w:val="ListParagraph"/>
        <w:tabs>
          <w:tab w:val="clear" w:pos="708"/>
          <w:tab w:val="left" w:pos="131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- использовать профориентационные возможности досуговой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>
      <w:pPr>
        <w:pStyle w:val="ListParagraph"/>
        <w:tabs>
          <w:tab w:val="clear" w:pos="708"/>
          <w:tab w:val="left" w:pos="166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- взаимодействовать с членами педагогического коллектива, родителями учащихся (для программ дополнительного образования детей), иными заинтересованными лицами и организациями при подготовке и проведении массовых досуговых мероприятий, выполнять нормы педагогической этики; заниматься организацией набора детей для обучения по программам Центра;</w:t>
      </w:r>
    </w:p>
    <w:p>
      <w:pPr>
        <w:pStyle w:val="ListParagraph"/>
        <w:tabs>
          <w:tab w:val="clear" w:pos="708"/>
          <w:tab w:val="left" w:pos="1650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- взаимодействовать с руководителем Центра по вопросам планирования и организации методической работы и повышения квалификации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педагогов;</w:t>
      </w:r>
    </w:p>
    <w:p>
      <w:pPr>
        <w:pStyle w:val="ListParagraph"/>
        <w:tabs>
          <w:tab w:val="clear" w:pos="708"/>
          <w:tab w:val="left" w:pos="165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- производить анализ и самоанализ организации досуговой деятельности, подготовки и проведения массовых мероприятий, отслеживать педагогические эффекты проведения мероприятий;</w:t>
      </w:r>
    </w:p>
    <w:p>
      <w:pPr>
        <w:pStyle w:val="ListParagraph"/>
        <w:tabs>
          <w:tab w:val="clear" w:pos="708"/>
          <w:tab w:val="left" w:pos="162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- обрабатывать персональные данные с соблюдением принципов и правил, установленных законодательством Российской Федерации, определять законность требований различных категорий граждан и должностных лиц о предоставлении доступа к учебной документации, в том числе содержащей персональные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данные;</w:t>
      </w:r>
    </w:p>
    <w:p>
      <w:pPr>
        <w:pStyle w:val="ListParagraph"/>
        <w:tabs>
          <w:tab w:val="clear" w:pos="708"/>
          <w:tab w:val="left" w:pos="155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- планировать мероприятия для привлечения потенциального контингента учащихся различного возраста для дистанционного взаимодействия (обучения, внеурочной деятельности, проведения социокультурных мероприятий 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т.д.);</w:t>
      </w:r>
    </w:p>
    <w:p>
      <w:pPr>
        <w:pStyle w:val="ListParagraph"/>
        <w:tabs>
          <w:tab w:val="clear" w:pos="708"/>
          <w:tab w:val="left" w:pos="157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- организовывать подготовку и размещение, готовить и размещать информационно-рекламные материалы (листовки, буклеты, плакаты, баннеры, презентации) о возможностях дополнительного образования детей и взрослых в различных областях деятельности, о перечне и основных характеристиках предлагаемых к освоению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программ;</w:t>
      </w:r>
    </w:p>
    <w:p>
      <w:pPr>
        <w:pStyle w:val="ListParagraph"/>
        <w:tabs>
          <w:tab w:val="clear" w:pos="708"/>
          <w:tab w:val="left" w:pos="162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- проводить презентации организации и реализуемых ею образовательных программ, дни открытых дверей, конференции, выставки и другие мероприятия, обеспечивающие связи с общественностью, родителями (законными представителями) и детьми и (или) взрослым населением, заинтересованными организациями, заниматься освещением работы Центра роста в СМИ, сайте учреждения, анонсировать его деятельность в социальных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сетях;  </w:t>
      </w:r>
    </w:p>
    <w:p>
      <w:pPr>
        <w:pStyle w:val="ListParagraph"/>
        <w:tabs>
          <w:tab w:val="clear" w:pos="708"/>
          <w:tab w:val="left" w:pos="162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-организовывать мероприятия по набору и комплектованию групп учащихся для занятий внеурочной деятельностью на базе Центра с учетом специфики реализуемых дополнительных общеобразовательных программ, индивидуальных и возрастных характеристик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учащихся;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79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 находить заинтересованных лиц и организации, развивать формальные (договорные, организационные) и неформальные формы взаимодействия с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ними;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74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 эффективно взаимодействовать с членами педагогического коллектива, представителями профессионального сообщества, родителями учащихся (для программ дополнительного образования детей), иными заинтересованными лицами и организациями, в том числе с социальными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партнерами;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700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создавать условия для поддержания интереса учащихся к дополнительному образованию и освоению дополнительных общеобразовательных программ в организации, осуществляющей образовательную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деятельность;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68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ориентироваться в источниках, анализировать и обобщать информацию о государственной и региональной политике в области образования, необходимую для определения требований к качеству дополнительного образования детей и (или) взрослых, в тенденциях его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развития;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659" w:leader="none"/>
        </w:tabs>
        <w:ind w:left="0" w:hanging="481"/>
        <w:rPr>
          <w:sz w:val="28"/>
          <w:szCs w:val="28"/>
        </w:rPr>
      </w:pPr>
      <w:r>
        <w:rPr>
          <w:sz w:val="28"/>
          <w:szCs w:val="28"/>
        </w:rPr>
        <w:t>производить изучение потребностей дополнительных образовательных услуг на базе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Центра;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772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определять, изучать и анализировать внутренние и внешние (средовые) условия для совершенствования работы Центра, реализующего программы дополнительного образования детей и (или) взрослых, в том числе социально-экономические условия деятельности, социально- психологические особенности контингента, методическое и кадровое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обеспечение;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70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разрабатывать и представлять руководству и педагогическому коллективу предложения по развитию Центра, реализующего программы дополнительного образования, перечню и содержанию программ, обеспечению качества их реализации, совершенствованию кадрового, нормативного, учебно-методического и материально-технического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обеспечения;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659" w:leader="none"/>
        </w:tabs>
        <w:ind w:left="0" w:hanging="481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- создавать условия для реализации детьми творческого и исследовательского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потенциала;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69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контролировать и организовывать работу педагогов Центра: посещать занятия и досуговые мероприятия, анализировать и обсуждать их с педагогами, составлять расписание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работы творческих объединений (кружков, секций), контролировать соблюдение требований охраны труда на занятиях и при проведении досуговых мероприятий;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760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анализировать процесс и результаты деятельности Центра по реализации программ и развитию дополнительного образования детей и (или)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взрослых;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75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контролировать соблюдение санитарно-бытовых условий и условий внутренней среды, выполнение требований охраны труда, анализировать и устранять (минимизировать) возможные риски жизни и здоровью учащихся при проведении массовых досуговых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мероприятий;</w:t>
      </w:r>
    </w:p>
    <w:p>
      <w:pPr>
        <w:pStyle w:val="ListParagraph"/>
        <w:tabs>
          <w:tab w:val="clear" w:pos="708"/>
          <w:tab w:val="left" w:pos="165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- выполнять требования охраны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труда;</w:t>
      </w:r>
    </w:p>
    <w:p>
      <w:pPr>
        <w:pStyle w:val="Style16"/>
        <w:ind w:lef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1477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Педагог-организатор подчиняется непосредственно руководителю Центра роста и директору учреждения.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1460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На время отсутствия педагога-организатора (отпуск, болезнь, пр.) его обязанности исполняет лицо, назначенное приказом директора учреждения по согласованию с руководителем Центра роста.</w:t>
      </w:r>
    </w:p>
    <w:p>
      <w:pPr>
        <w:pStyle w:val="Style16"/>
        <w:ind w:left="0" w:hanging="0"/>
        <w:rPr>
          <w:sz w:val="28"/>
          <w:szCs w:val="28"/>
        </w:rPr>
      </w:pPr>
      <w:r>
        <w:rPr>
          <w:sz w:val="28"/>
          <w:szCs w:val="28"/>
        </w:rPr>
        <w:t>Данное лицо,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>
      <w:pPr>
        <w:pStyle w:val="Style16"/>
        <w:ind w:lef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2"/>
        <w:numPr>
          <w:ilvl w:val="0"/>
          <w:numId w:val="4"/>
        </w:numPr>
        <w:tabs>
          <w:tab w:val="clear" w:pos="708"/>
          <w:tab w:val="left" w:pos="1486" w:leader="none"/>
        </w:tabs>
        <w:ind w:left="0" w:hanging="308"/>
        <w:rPr>
          <w:sz w:val="28"/>
          <w:szCs w:val="28"/>
        </w:rPr>
      </w:pPr>
      <w:r>
        <w:rPr>
          <w:sz w:val="28"/>
          <w:szCs w:val="28"/>
        </w:rPr>
        <w:t>Должностные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обязанности.</w:t>
      </w:r>
    </w:p>
    <w:p>
      <w:pPr>
        <w:pStyle w:val="Style16"/>
        <w:ind w:left="0" w:hanging="0"/>
        <w:jc w:val="left"/>
        <w:rPr>
          <w:sz w:val="28"/>
          <w:szCs w:val="28"/>
        </w:rPr>
      </w:pPr>
      <w:r>
        <w:rPr>
          <w:sz w:val="28"/>
          <w:szCs w:val="28"/>
        </w:rPr>
        <w:t>Педагог-организатор: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1482" w:leader="none"/>
        </w:tabs>
        <w:ind w:left="301" w:hanging="301"/>
        <w:rPr>
          <w:sz w:val="28"/>
          <w:szCs w:val="28"/>
        </w:rPr>
      </w:pPr>
      <w:r>
        <w:rPr>
          <w:sz w:val="28"/>
          <w:szCs w:val="28"/>
        </w:rPr>
        <w:t>Содействует развитию личности, талантов и способностей, формированию общей культуры обучающихся (воспитанников, детей), педагогизации социальной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сферы.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1477" w:leader="none"/>
        </w:tabs>
        <w:ind w:left="301" w:hanging="301"/>
        <w:rPr>
          <w:sz w:val="28"/>
          <w:szCs w:val="28"/>
        </w:rPr>
      </w:pPr>
      <w:r>
        <w:rPr>
          <w:sz w:val="28"/>
          <w:szCs w:val="28"/>
        </w:rPr>
        <w:t>Изучает возрастные и психологические особенности, интересы и потребности обучающихся (воспитанников, детей), создает условия для их реализации в различных видах творческой деятельности.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1474" w:leader="none"/>
        </w:tabs>
        <w:ind w:left="301" w:hanging="301"/>
        <w:rPr>
          <w:sz w:val="28"/>
          <w:szCs w:val="28"/>
        </w:rPr>
      </w:pPr>
      <w:r>
        <w:rPr>
          <w:sz w:val="28"/>
          <w:szCs w:val="28"/>
        </w:rPr>
        <w:t>Занимается формированием списка детей, занимающихся на постоянной основе шахматами, реализацией плана учебно-воспитательных, внеурочных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мероприятий.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1486" w:leader="none"/>
        </w:tabs>
        <w:ind w:left="301" w:hanging="301"/>
        <w:rPr>
          <w:sz w:val="28"/>
          <w:szCs w:val="28"/>
        </w:rPr>
      </w:pPr>
      <w:r>
        <w:rPr>
          <w:sz w:val="28"/>
          <w:szCs w:val="28"/>
        </w:rPr>
        <w:t>Организует работу детских клубов, кружков, секций и других любительских объединений, разнообразную индивидуальную и совместную деятельность обучающихся (воспитанников, детей) и взрослых.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1522" w:leader="none"/>
        </w:tabs>
        <w:ind w:left="301" w:hanging="301"/>
        <w:rPr>
          <w:sz w:val="28"/>
          <w:szCs w:val="28"/>
        </w:rPr>
      </w:pPr>
      <w:r>
        <w:rPr>
          <w:sz w:val="28"/>
          <w:szCs w:val="28"/>
        </w:rPr>
        <w:t>Руководит работой по одному из направлений деятельности учреждения: техническому, художественному, спортивному, туристско-краеведческому 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др.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1419" w:leader="none"/>
        </w:tabs>
        <w:ind w:left="301" w:hanging="301"/>
        <w:rPr>
          <w:sz w:val="28"/>
          <w:szCs w:val="28"/>
        </w:rPr>
      </w:pPr>
      <w:r>
        <w:rPr>
          <w:sz w:val="28"/>
          <w:szCs w:val="28"/>
        </w:rPr>
        <w:t>Способствует реализации прав ребенка на развитие творческих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способностей.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1628" w:leader="none"/>
        </w:tabs>
        <w:ind w:left="301" w:hanging="301"/>
        <w:rPr>
          <w:sz w:val="28"/>
          <w:szCs w:val="28"/>
        </w:rPr>
      </w:pPr>
      <w:r>
        <w:rPr>
          <w:sz w:val="28"/>
          <w:szCs w:val="28"/>
        </w:rPr>
        <w:t xml:space="preserve">Организует социокультурные мероприятия: вечера, праздники, походы, экскурсии, поддерживает социально значимые инициативы обучающихся </w:t>
      </w:r>
    </w:p>
    <w:p>
      <w:pPr>
        <w:pStyle w:val="ListParagraph"/>
        <w:tabs>
          <w:tab w:val="clear" w:pos="708"/>
          <w:tab w:val="left" w:pos="1628" w:leader="none"/>
        </w:tabs>
        <w:ind w:left="301" w:hanging="301"/>
        <w:rPr>
          <w:sz w:val="28"/>
          <w:szCs w:val="28"/>
        </w:rPr>
      </w:pPr>
      <w:r>
        <w:rPr/>
      </w:r>
    </w:p>
    <w:p>
      <w:pPr>
        <w:pStyle w:val="ListParagraph"/>
        <w:tabs>
          <w:tab w:val="clear" w:pos="708"/>
          <w:tab w:val="left" w:pos="1628" w:leader="none"/>
        </w:tabs>
        <w:ind w:left="301" w:hanging="301"/>
        <w:rPr>
          <w:sz w:val="28"/>
          <w:szCs w:val="28"/>
        </w:rPr>
      </w:pPr>
      <w:r>
        <w:rPr/>
      </w:r>
    </w:p>
    <w:p>
      <w:pPr>
        <w:pStyle w:val="ListParagraph"/>
        <w:tabs>
          <w:tab w:val="clear" w:pos="708"/>
          <w:tab w:val="left" w:pos="1628" w:leader="none"/>
        </w:tabs>
        <w:ind w:left="301" w:hanging="301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-506730</wp:posOffset>
            </wp:positionH>
            <wp:positionV relativeFrom="paragraph">
              <wp:posOffset>-200025</wp:posOffset>
            </wp:positionV>
            <wp:extent cx="6574155" cy="982091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4986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982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4"/>
      <w:type w:val="nextPage"/>
      <w:pgSz w:w="11906" w:h="16838"/>
      <w:pgMar w:left="1701" w:right="850" w:header="0" w:top="708" w:footer="708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Общ"/>
        <w:docPartUnique w:val="true"/>
      </w:docPartObj>
      <w:id w:val="1788623939"/>
    </w:sdtPr>
    <w:sdtContent>
      <w:p>
        <w:pPr>
          <w:pStyle w:val="Style22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0</w:t>
        </w:r>
        <w:r>
          <w:rPr/>
          <w:fldChar w:fldCharType="end"/>
        </w:r>
      </w:p>
    </w:sdtContent>
  </w:sdt>
  <w:p>
    <w:pPr>
      <w:pStyle w:val="Style22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4"/>
      <w:numFmt w:val="decimal"/>
      <w:lvlText w:val="%1"/>
      <w:lvlJc w:val="left"/>
      <w:pPr>
        <w:tabs>
          <w:tab w:val="num" w:pos="0"/>
        </w:tabs>
        <w:ind w:left="1178" w:hanging="454"/>
      </w:pPr>
      <w:rPr>
        <w:lang w:val="ru-RU" w:eastAsia="en-US" w:bidi="ar-SA"/>
      </w:rPr>
    </w:lvl>
    <w:lvl w:ilvl="1">
      <w:start w:val="0"/>
      <w:numFmt w:val="none"/>
      <w:suff w:val="nothing"/>
      <w:lvlText w:val=""/>
      <w:lvlJc w:val="left"/>
      <w:pPr>
        <w:tabs>
          <w:tab w:val="num" w:pos="360"/>
        </w:tabs>
        <w:ind w:left="0" w:hanging="0"/>
      </w:pPr>
    </w:lvl>
    <w:lvl w:ilvl="2">
      <w:start w:val="0"/>
      <w:numFmt w:val="bullet"/>
      <w:lvlText w:val=""/>
      <w:lvlJc w:val="left"/>
      <w:pPr>
        <w:tabs>
          <w:tab w:val="num" w:pos="0"/>
        </w:tabs>
        <w:ind w:left="3304" w:hanging="45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66" w:hanging="45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28" w:hanging="45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90" w:hanging="45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52" w:hanging="45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14" w:hanging="45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76" w:hanging="454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3"/>
      <w:numFmt w:val="decimal"/>
      <w:lvlText w:val="%1"/>
      <w:lvlJc w:val="left"/>
      <w:pPr>
        <w:tabs>
          <w:tab w:val="num" w:pos="0"/>
        </w:tabs>
        <w:ind w:left="1178" w:hanging="502"/>
      </w:pPr>
      <w:rPr>
        <w:lang w:val="ru-RU" w:eastAsia="en-US" w:bidi="ar-SA"/>
      </w:rPr>
    </w:lvl>
    <w:lvl w:ilvl="1">
      <w:start w:val="0"/>
      <w:numFmt w:val="none"/>
      <w:suff w:val="nothing"/>
      <w:lvlText w:val=""/>
      <w:lvlJc w:val="left"/>
      <w:pPr>
        <w:tabs>
          <w:tab w:val="num" w:pos="360"/>
        </w:tabs>
        <w:ind w:left="0" w:hanging="0"/>
      </w:pPr>
    </w:lvl>
    <w:lvl w:ilvl="2">
      <w:start w:val="0"/>
      <w:numFmt w:val="bullet"/>
      <w:lvlText w:val=""/>
      <w:lvlJc w:val="left"/>
      <w:pPr>
        <w:tabs>
          <w:tab w:val="num" w:pos="0"/>
        </w:tabs>
        <w:ind w:left="3304" w:hanging="50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66" w:hanging="50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28" w:hanging="50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90" w:hanging="50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52" w:hanging="50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14" w:hanging="50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76" w:hanging="502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2"/>
      <w:numFmt w:val="decimal"/>
      <w:lvlText w:val="%1."/>
      <w:lvlJc w:val="left"/>
      <w:pPr>
        <w:tabs>
          <w:tab w:val="num" w:pos="0"/>
        </w:tabs>
        <w:ind w:left="1178" w:hanging="250"/>
      </w:pPr>
      <w:rPr>
        <w:w w:val="100"/>
        <w:lang w:val="ru-RU" w:eastAsia="en-US" w:bidi="ar-SA"/>
      </w:rPr>
    </w:lvl>
    <w:lvl w:ilvl="1">
      <w:start w:val="0"/>
      <w:numFmt w:val="none"/>
      <w:suff w:val="nothing"/>
      <w:lvlText w:val=""/>
      <w:lvlJc w:val="left"/>
      <w:pPr>
        <w:tabs>
          <w:tab w:val="num" w:pos="360"/>
        </w:tabs>
        <w:ind w:left="0" w:hanging="0"/>
      </w:pPr>
    </w:lvl>
    <w:lvl w:ilvl="2">
      <w:start w:val="0"/>
      <w:numFmt w:val="bullet"/>
      <w:lvlText w:val=""/>
      <w:lvlJc w:val="left"/>
      <w:pPr>
        <w:tabs>
          <w:tab w:val="num" w:pos="0"/>
        </w:tabs>
        <w:ind w:left="3304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66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28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90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52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14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76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1"/>
      <w:numFmt w:val="upperRoman"/>
      <w:lvlText w:val="%1."/>
      <w:lvlJc w:val="left"/>
      <w:pPr>
        <w:tabs>
          <w:tab w:val="num" w:pos="0"/>
        </w:tabs>
        <w:ind w:left="1392" w:hanging="214"/>
      </w:pPr>
      <w:rPr>
        <w:sz w:val="24"/>
        <w:spacing w:val="-1"/>
        <w:i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40" w:hanging="21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80" w:hanging="21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20" w:hanging="21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60" w:hanging="21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00" w:hanging="21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40" w:hanging="21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80" w:hanging="21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720" w:hanging="214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1178" w:hanging="303"/>
      </w:pPr>
      <w:rPr>
        <w:sz w:val="24"/>
        <w:spacing w:val="-8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42" w:hanging="30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04" w:hanging="30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66" w:hanging="30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28" w:hanging="30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90" w:hanging="30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52" w:hanging="30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14" w:hanging="30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76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1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1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3404f6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 w:customStyle="1">
    <w:name w:val="Heading 1"/>
    <w:basedOn w:val="Normal"/>
    <w:uiPriority w:val="1"/>
    <w:qFormat/>
    <w:rsid w:val="003404f6"/>
    <w:pPr>
      <w:spacing w:lineRule="exact" w:line="274"/>
      <w:ind w:left="1418" w:hanging="241"/>
      <w:jc w:val="both"/>
      <w:outlineLvl w:val="1"/>
    </w:pPr>
    <w:rPr>
      <w:b/>
      <w:bCs/>
      <w:sz w:val="24"/>
      <w:szCs w:val="24"/>
    </w:rPr>
  </w:style>
  <w:style w:type="paragraph" w:styleId="2" w:customStyle="1">
    <w:name w:val="Heading 2"/>
    <w:basedOn w:val="Normal"/>
    <w:uiPriority w:val="1"/>
    <w:qFormat/>
    <w:rsid w:val="003404f6"/>
    <w:pPr>
      <w:ind w:left="1392" w:hanging="401"/>
      <w:jc w:val="both"/>
      <w:outlineLvl w:val="2"/>
    </w:pPr>
    <w:rPr>
      <w:b/>
      <w:bCs/>
      <w:i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Основной текст Знак"/>
    <w:basedOn w:val="DefaultParagraphFont"/>
    <w:link w:val="a3"/>
    <w:uiPriority w:val="1"/>
    <w:qFormat/>
    <w:rsid w:val="003404f6"/>
    <w:rPr>
      <w:rFonts w:ascii="Times New Roman" w:hAnsi="Times New Roman" w:eastAsia="Times New Roman" w:cs="Times New Roman"/>
      <w:sz w:val="24"/>
      <w:szCs w:val="24"/>
    </w:rPr>
  </w:style>
  <w:style w:type="character" w:styleId="Style13" w:customStyle="1">
    <w:name w:val="Верхний колонтитул Знак"/>
    <w:basedOn w:val="DefaultParagraphFont"/>
    <w:link w:val="a6"/>
    <w:uiPriority w:val="99"/>
    <w:semiHidden/>
    <w:qFormat/>
    <w:rsid w:val="003404f6"/>
    <w:rPr>
      <w:rFonts w:ascii="Times New Roman" w:hAnsi="Times New Roman" w:eastAsia="Times New Roman" w:cs="Times New Roman"/>
    </w:rPr>
  </w:style>
  <w:style w:type="character" w:styleId="Style14" w:customStyle="1">
    <w:name w:val="Нижний колонтитул Знак"/>
    <w:basedOn w:val="DefaultParagraphFont"/>
    <w:link w:val="a8"/>
    <w:uiPriority w:val="99"/>
    <w:qFormat/>
    <w:rsid w:val="003404f6"/>
    <w:rPr>
      <w:rFonts w:ascii="Times New Roman" w:hAnsi="Times New Roman" w:eastAsia="Times New Roman" w:cs="Times New Roman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link w:val="a4"/>
    <w:uiPriority w:val="1"/>
    <w:qFormat/>
    <w:rsid w:val="003404f6"/>
    <w:pPr>
      <w:ind w:left="1178" w:hanging="0"/>
      <w:jc w:val="both"/>
    </w:pPr>
    <w:rPr>
      <w:sz w:val="24"/>
      <w:szCs w:val="24"/>
    </w:rPr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rsid w:val="003404f6"/>
    <w:pPr>
      <w:ind w:left="1178" w:hanging="0"/>
      <w:jc w:val="both"/>
    </w:pPr>
    <w:rPr/>
  </w:style>
  <w:style w:type="paragraph" w:styleId="Style20">
    <w:name w:val="Верхний и нижний колонтитулы"/>
    <w:basedOn w:val="Normal"/>
    <w:qFormat/>
    <w:pPr/>
    <w:rPr/>
  </w:style>
  <w:style w:type="paragraph" w:styleId="Style21">
    <w:name w:val="Header"/>
    <w:basedOn w:val="Normal"/>
    <w:link w:val="a7"/>
    <w:uiPriority w:val="99"/>
    <w:semiHidden/>
    <w:unhideWhenUsed/>
    <w:rsid w:val="003404f6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2">
    <w:name w:val="Footer"/>
    <w:basedOn w:val="Normal"/>
    <w:link w:val="a9"/>
    <w:uiPriority w:val="99"/>
    <w:unhideWhenUsed/>
    <w:rsid w:val="003404f6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3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Application>LibreOffice/7.0.6.2$Linux_X86_64 LibreOffice_project/00$Build-2</Application>
  <AppVersion>15.0000</AppVersion>
  <Pages>7</Pages>
  <Words>1341</Words>
  <Characters>10915</Characters>
  <CharactersWithSpaces>12293</CharactersWithSpaces>
  <Paragraphs>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2020-08-28T12:03:00Z</dcterms:created>
  <dc:creator>Наталья Лисицкая</dc:creator>
  <dc:description/>
  <dc:language>ru-RU</dc:language>
  <cp:lastModifiedBy/>
  <dcterms:modified xsi:type="dcterms:W3CDTF">2023-04-27T11:06:07Z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